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color w:val="A6192E"/>
          <w:sz w:val="18"/>
          <w:szCs w:val="18"/>
        </w:rPr>
        <w:t xml:space="preserve">SAMPLE DOCUMENT — FOR ILLUSTRATIVE PURPOSES ONLY</w:t>
      </w:r>
    </w:p>
    <w:p>
      <w:pPr>
        <w:spacing w:after="300"/>
        <w:jc w:val="center"/>
      </w:pPr>
      <w:r>
        <w:rPr>
          <w:i/>
          <w:iCs/>
          <w:color w:val="4A5560"/>
          <w:sz w:val="15"/>
          <w:szCs w:val="15"/>
        </w:rPr>
        <w:t xml:space="preserve">Illustrative figures only — not a real carrier invoice. Companion resource to The Complete Guide to LTL Shipping by Ryan Poynter.</w:t>
      </w:r>
    </w:p>
    <w:p>
      <w:r>
        <w:rPr>
          <w:b/>
          <w:bCs/>
          <w:color w:val="132437"/>
          <w:sz w:val="30"/>
          <w:szCs w:val="30"/>
        </w:rPr>
        <w:t xml:space="preserve">CROSSROADS FREIGHT LINES</w:t>
      </w:r>
    </w:p>
    <w:p>
      <w:pPr>
        <w:spacing w:after="300"/>
      </w:pPr>
      <w:r>
        <w:rPr>
          <w:color w:val="4A5560"/>
          <w:sz w:val="22"/>
          <w:szCs w:val="22"/>
        </w:rPr>
        <w:t xml:space="preserve">Freight Invoice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  <w:shd w:fill="EDEDED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b/>
                <w:bCs/>
                <w:color w:val="000000"/>
                <w:sz w:val="19"/>
                <w:szCs w:val="19"/>
              </w:rPr>
              <w:t xml:space="preserve">Invoice #</w:t>
            </w:r>
          </w:p>
        </w:tc>
        <w:tc>
          <w:tcPr>
            <w:tcW w:type="dxa" w:w="252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INV-204471</w:t>
            </w:r>
          </w:p>
        </w:tc>
        <w:tc>
          <w:tcPr>
            <w:tcW w:type="dxa" w:w="2520"/>
            <w:shd w:fill="EDEDED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b/>
                <w:bCs/>
                <w:color w:val="000000"/>
                <w:sz w:val="19"/>
                <w:szCs w:val="19"/>
              </w:rPr>
              <w:t xml:space="preserve">Invoice Date</w:t>
            </w:r>
          </w:p>
        </w:tc>
        <w:tc>
          <w:tcPr>
            <w:tcW w:type="dxa" w:w="252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03/11/2026</w:t>
            </w:r>
          </w:p>
        </w:tc>
      </w:tr>
      <w:tr>
        <w:tc>
          <w:tcPr>
            <w:tcW w:type="dxa" w:w="2520"/>
            <w:shd w:fill="EDEDED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b/>
                <w:bCs/>
                <w:color w:val="000000"/>
                <w:sz w:val="19"/>
                <w:szCs w:val="19"/>
              </w:rPr>
              <w:t xml:space="preserve">PRO Number</w:t>
            </w:r>
          </w:p>
        </w:tc>
        <w:tc>
          <w:tcPr>
            <w:tcW w:type="dxa" w:w="252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847-2201-6634</w:t>
            </w:r>
          </w:p>
        </w:tc>
        <w:tc>
          <w:tcPr>
            <w:tcW w:type="dxa" w:w="2520"/>
            <w:shd w:fill="EDEDED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b/>
                <w:bCs/>
                <w:color w:val="000000"/>
                <w:sz w:val="19"/>
                <w:szCs w:val="19"/>
              </w:rPr>
              <w:t xml:space="preserve">Ship Date</w:t>
            </w:r>
          </w:p>
        </w:tc>
        <w:tc>
          <w:tcPr>
            <w:tcW w:type="dxa" w:w="252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03/04/2026</w:t>
            </w:r>
          </w:p>
        </w:tc>
      </w:tr>
      <w:tr>
        <w:tc>
          <w:tcPr>
            <w:tcW w:type="dxa" w:w="2520"/>
            <w:shd w:fill="EDEDED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b/>
                <w:bCs/>
                <w:color w:val="000000"/>
                <w:sz w:val="19"/>
                <w:szCs w:val="19"/>
              </w:rPr>
              <w:t xml:space="preserve">Bill To</w:t>
            </w:r>
          </w:p>
        </w:tc>
        <w:tc>
          <w:tcPr>
            <w:tcW w:type="dxa" w:w="252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Acme Fixtures Co.</w:t>
            </w:r>
          </w:p>
        </w:tc>
        <w:tc>
          <w:tcPr>
            <w:tcW w:type="dxa" w:w="2520"/>
            <w:shd w:fill="EDEDED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b/>
                <w:bCs/>
                <w:color w:val="000000"/>
                <w:sz w:val="19"/>
                <w:szCs w:val="19"/>
              </w:rPr>
              <w:t xml:space="preserve">Terms</w:t>
            </w:r>
          </w:p>
        </w:tc>
        <w:tc>
          <w:tcPr>
            <w:tcW w:type="dxa" w:w="252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Net 30</w:t>
            </w:r>
          </w:p>
        </w:tc>
      </w:tr>
    </w:tbl>
    <w:p>
      <w:pPr>
        <w:spacing w:before="300"/>
      </w:pPr>
    </w:p>
    <w:p>
      <w:r>
        <w:rPr>
          <w:b/>
          <w:bCs/>
          <w:color w:val="132437"/>
          <w:sz w:val="20"/>
          <w:szCs w:val="20"/>
        </w:rPr>
        <w:t xml:space="preserve">Shipment: Charlotte, NC 28206  →  Columbus, OH 43215</w:t>
      </w:r>
    </w:p>
    <w:p>
      <w:pPr>
        <w:spacing w:after="200"/>
      </w:pPr>
      <w:r>
        <w:rPr>
          <w:color w:val="4A5560"/>
          <w:sz w:val="19"/>
          <w:szCs w:val="19"/>
        </w:rPr>
        <w:t xml:space="preserve">800 lbs · Class 100 · Liftgate Delivery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2700"/>
        <w:gridCol w:w="2700"/>
      </w:tblGrid>
      <w:tr>
        <w:tc>
          <w:tcPr>
            <w:tcW w:type="dxa" w:w="4680"/>
            <w:shd w:fill="132437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Line Item</w:t>
            </w:r>
          </w:p>
        </w:tc>
        <w:tc>
          <w:tcPr>
            <w:tcW w:type="dxa" w:w="2700"/>
            <w:shd w:fill="132437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Calculation</w:t>
            </w:r>
          </w:p>
        </w:tc>
        <w:tc>
          <w:tcPr>
            <w:tcW w:type="dxa" w:w="2700"/>
            <w:shd w:fill="132437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Amount</w:t>
            </w:r>
          </w:p>
        </w:tc>
      </w:tr>
      <w:tr>
        <w:tc>
          <w:tcPr>
            <w:tcW w:type="dxa" w:w="468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Published Base Rate</w:t>
            </w:r>
          </w:p>
        </w:tc>
        <w:tc>
          <w:tcPr>
            <w:tcW w:type="dxa" w:w="27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Class 100, 800 lbs</w:t>
            </w:r>
          </w:p>
        </w:tc>
        <w:tc>
          <w:tcPr>
            <w:tcW w:type="dxa" w:w="27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$310.00</w:t>
            </w:r>
          </w:p>
        </w:tc>
      </w:tr>
      <w:tr>
        <w:tc>
          <w:tcPr>
            <w:tcW w:type="dxa" w:w="468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Negotiated Discount</w:t>
            </w:r>
          </w:p>
        </w:tc>
        <w:tc>
          <w:tcPr>
            <w:tcW w:type="dxa" w:w="27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65% off published base</w:t>
            </w:r>
          </w:p>
        </w:tc>
        <w:tc>
          <w:tcPr>
            <w:tcW w:type="dxa" w:w="27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-$201.50</w:t>
            </w:r>
          </w:p>
        </w:tc>
      </w:tr>
      <w:tr>
        <w:tc>
          <w:tcPr>
            <w:tcW w:type="dxa" w:w="468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b/>
                <w:bCs/>
                <w:color w:val="000000"/>
                <w:sz w:val="19"/>
                <w:szCs w:val="19"/>
              </w:rPr>
              <w:t xml:space="preserve">Discounted Base Charge</w:t>
            </w:r>
          </w:p>
        </w:tc>
        <w:tc>
          <w:tcPr>
            <w:tcW w:type="dxa" w:w="27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$310.00 − $201.50</w:t>
            </w:r>
          </w:p>
        </w:tc>
        <w:tc>
          <w:tcPr>
            <w:tcW w:type="dxa" w:w="27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$108.50</w:t>
            </w:r>
          </w:p>
        </w:tc>
      </w:tr>
      <w:tr>
        <w:tc>
          <w:tcPr>
            <w:tcW w:type="dxa" w:w="468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Fuel Surcharge</w:t>
            </w:r>
          </w:p>
        </w:tc>
        <w:tc>
          <w:tcPr>
            <w:tcW w:type="dxa" w:w="27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22% of discounted base</w:t>
            </w:r>
          </w:p>
        </w:tc>
        <w:tc>
          <w:tcPr>
            <w:tcW w:type="dxa" w:w="27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$23.87</w:t>
            </w:r>
          </w:p>
        </w:tc>
      </w:tr>
      <w:tr>
        <w:tc>
          <w:tcPr>
            <w:tcW w:type="dxa" w:w="468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Liftgate Accessorial</w:t>
            </w:r>
          </w:p>
        </w:tc>
        <w:tc>
          <w:tcPr>
            <w:tcW w:type="dxa" w:w="27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Flat fee, carrier tariff</w:t>
            </w:r>
          </w:p>
        </w:tc>
        <w:tc>
          <w:tcPr>
            <w:tcW w:type="dxa" w:w="27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$95.00</w:t>
            </w:r>
          </w:p>
        </w:tc>
      </w:tr>
      <w:tr>
        <w:tc>
          <w:tcPr>
            <w:tcW w:type="dxa" w:w="4680"/>
            <w:shd w:fill="EDEDED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b/>
                <w:bCs/>
                <w:color w:val="000000"/>
                <w:sz w:val="19"/>
                <w:szCs w:val="19"/>
              </w:rPr>
              <w:t xml:space="preserve">TOTAL DUE</w:t>
            </w:r>
          </w:p>
        </w:tc>
        <w:tc>
          <w:tcPr>
            <w:tcW w:type="dxa" w:w="2700"/>
            <w:shd w:fill="EDEDED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shd w:fill="EDEDED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$227.37</w:t>
            </w:r>
          </w:p>
        </w:tc>
      </w:tr>
    </w:tbl>
    <w:p>
      <w:pPr>
        <w:spacing w:before="400"/>
      </w:pPr>
    </w:p>
    <w:p>
      <w:r>
        <w:rPr>
          <w:b/>
          <w:bCs/>
          <w:color w:val="132437"/>
          <w:sz w:val="22"/>
          <w:szCs w:val="22"/>
        </w:rPr>
        <w:t xml:space="preserve">How to Read This Invoice — Line by Line</w:t>
      </w:r>
    </w:p>
    <w:p>
      <w:pPr>
        <w:spacing w:before="100"/>
      </w:pPr>
    </w:p>
    <w:p>
      <w:pPr>
        <w:spacing w:after="160" w:line="270"/>
      </w:pPr>
      <w:r>
        <w:t xml:space="preserve">Published Base Rate — the carrier's list-price rate for this class, weight, and lane, before any discount. This number alone tells you almost nothing about whether the price is competitive (Chapter 8).</w:t>
      </w:r>
    </w:p>
    <w:p>
      <w:pPr>
        <w:spacing w:after="160" w:line="270"/>
      </w:pPr>
      <w:r>
        <w:t xml:space="preserve">Negotiated Discount — the contracted discount applied to the base rate. Always compare net cost across carriers, not this percentage in isolation — two carriers can offer very different discounts and land at the same net rate (Chapter 8).</w:t>
      </w:r>
    </w:p>
    <w:p>
      <w:pPr>
        <w:spacing w:after="160" w:line="270"/>
      </w:pPr>
      <w:r>
        <w:t xml:space="preserve">Fuel Surcharge — a separate percentage applied to the discounted base charge, not the published rate. Confirm this on every invoice; applying it to the wrong base is a common billing error (Chapter 11).</w:t>
      </w:r>
    </w:p>
    <w:p>
      <w:pPr>
        <w:spacing w:after="160" w:line="270"/>
      </w:pPr>
      <w:r>
        <w:t xml:space="preserve">Liftgate Accessorial — charged because the delivery address required liftgate service. If this wasn't actually needed, it's a legitimate dispute (Chapter 7, Chapter 20).</w:t>
      </w:r>
    </w:p>
    <w:p>
      <w:pPr>
        <w:spacing w:after="160" w:line="270"/>
      </w:pPr>
      <w:r>
        <w:t xml:space="preserve">Minimum Charge Check — not shown as a separate line here because this shipment's calculated total already exceeded the carrier's minimum charge. On a smaller or lighter shipment, the minimum charge — not this calculation — often determines the final total (Chapter 12).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2026-07-27T01:07:20.665Z</dcterms:created>
  <dcterms:modified xsi:type="dcterms:W3CDTF">2026-07-27T01:07:20.666Z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