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A6192E"/>
          <w:sz w:val="18"/>
          <w:szCs w:val="18"/>
        </w:rPr>
        <w:t xml:space="preserve">SAMPLE DOCUMENT — FOR ILLUSTRATIVE PURPOSES ONLY</w:t>
      </w:r>
    </w:p>
    <w:p>
      <w:pPr>
        <w:spacing w:after="400"/>
        <w:jc w:val="center"/>
      </w:pPr>
      <w:r>
        <w:rPr>
          <w:i/>
          <w:iCs/>
          <w:color w:val="4A5560"/>
          <w:sz w:val="15"/>
          <w:szCs w:val="15"/>
        </w:rPr>
        <w:t xml:space="preserve">Not a legal document. Adapt with your own counsel before use. Companion resource to The Complete Guide to LTL Shipping by Ryan Poynter.</w:t>
      </w:r>
    </w:p>
    <w:p>
      <w:pPr>
        <w:spacing w:after="400"/>
        <w:jc w:val="center"/>
      </w:pPr>
      <w:r>
        <w:rPr>
          <w:b/>
          <w:bCs/>
          <w:color w:val="132437"/>
          <w:sz w:val="30"/>
          <w:szCs w:val="30"/>
        </w:rPr>
        <w:t xml:space="preserve">LETTER OF AUTHORITY</w:t>
      </w:r>
    </w:p>
    <w:p>
      <w:pPr>
        <w:spacing w:after="200" w:line="276"/>
      </w:pPr>
      <w:r>
        <w:t xml:space="preserve">Date: March 4, 2026</w:t>
      </w:r>
    </w:p>
    <w:p>
      <w:pPr>
        <w:spacing w:after="200" w:line="276"/>
      </w:pPr>
      <w:r>
        <w:t xml:space="preserve">To Whom It May Concern (LTL Carrier Pricing &amp; Sales Representatives):</w:t>
      </w:r>
    </w:p>
    <w:p>
      <w:pPr>
        <w:spacing w:after="200" w:line="276"/>
      </w:pPr>
      <w:r>
        <w:t xml:space="preserve">This letter confirms that Acme Fixtures Co. ("Shipper") authorizes Meridian Logistics Advisors ("Representative") to act on the Shipper's behalf for the following purposes:</w:t>
      </w:r>
    </w:p>
    <w:p>
      <w:pPr>
        <w:spacing w:after="120"/>
      </w:pPr>
      <w:r>
        <w:t xml:space="preserve">•  Requesting and receiving LTL freight rate quotations, tariff information, and pricing proposals from LTL carriers on the Shipper's behalf.</w:t>
      </w:r>
    </w:p>
    <w:p>
      <w:pPr>
        <w:spacing w:after="120"/>
      </w:pPr>
      <w:r>
        <w:t xml:space="preserve">•  Submitting the Shipper's historical shipment data for the purpose of a Request for Proposal (RFP) or rate benchmarking analysis.</w:t>
      </w:r>
    </w:p>
    <w:p>
      <w:pPr>
        <w:spacing w:after="120"/>
      </w:pPr>
      <w:r>
        <w:t xml:space="preserve">•  Negotiating rate discounts, accessorial pricing, fuel surcharge tables, and other pricing terms directly with carrier representatives, subject to the Shipper's final review and written approval before any agreement is executed.</w:t>
      </w:r>
    </w:p>
    <w:p>
      <w:pPr>
        <w:spacing w:after="300"/>
      </w:pPr>
      <w:r>
        <w:t xml:space="preserve">•  Receiving carrier performance data, scorecards, and claims history relevant to the Shipper's account.</w:t>
      </w:r>
    </w:p>
    <w:p>
      <w:pPr>
        <w:spacing w:after="200" w:line="276"/>
      </w:pPr>
      <w:r>
        <w:t xml:space="preserve">This authorization does not grant the Representative power to execute a binding contract on the Shipper's behalf. All final pricing agreements require the Shipper's own signature or explicit written approval.</w:t>
      </w:r>
    </w:p>
    <w:p>
      <w:pPr>
        <w:spacing w:after="200" w:line="276"/>
      </w:pPr>
      <w:r>
        <w:t xml:space="preserve">This Letter of Authority remains in effect until revoked in writing by the Shipper, or until December 31, 2026, whichever occurs first.</w:t>
      </w:r>
    </w:p>
    <w:p>
      <w:pPr>
        <w:spacing w:before="400"/>
      </w:pPr>
    </w:p>
    <w:p>
      <w:pPr>
        <w:spacing w:after="200" w:line="276"/>
      </w:pPr>
      <w:r>
        <w:t xml:space="preserve">Authorized on behalf of Acme Fixtures Co.:</w:t>
      </w:r>
    </w:p>
    <w:p>
      <w:pPr>
        <w:spacing w:before="500"/>
      </w:pPr>
    </w:p>
    <w:p>
      <w:pPr>
        <w:spacing w:after="200" w:line="276"/>
      </w:pPr>
      <w:r>
        <w:t xml:space="preserve">_________________________________</w:t>
      </w:r>
    </w:p>
    <w:p>
      <w:pPr>
        <w:spacing w:after="200" w:line="276"/>
      </w:pPr>
      <w:r>
        <w:t xml:space="preserve">Name:  Jordan Whitfield</w:t>
      </w:r>
    </w:p>
    <w:p>
      <w:pPr>
        <w:spacing w:after="200" w:line="276"/>
      </w:pPr>
      <w:r>
        <w:t xml:space="preserve">Title:  Director of Transportation</w:t>
      </w:r>
    </w:p>
    <w:p>
      <w:pPr>
        <w:spacing w:after="200" w:line="276"/>
      </w:pPr>
      <w:r>
        <w:t xml:space="preserve">Date:  March 4, 2026</w:t>
      </w:r>
    </w:p>
    <w:p>
      <w:pPr>
        <w:spacing w:before="400"/>
      </w:pPr>
    </w:p>
    <w:p>
      <w:r>
        <w:rPr>
          <w:b/>
          <w:bCs/>
          <w:color w:val="132437"/>
          <w:sz w:val="20"/>
          <w:szCs w:val="20"/>
        </w:rPr>
        <w:t xml:space="preserve">Why this example is built the way it is:</w:t>
      </w:r>
    </w:p>
    <w:p>
      <w:pPr>
        <w:spacing w:before="100"/>
      </w:pPr>
      <w:r>
        <w:rPr>
          <w:color w:val="4A5560"/>
          <w:sz w:val="20"/>
          <w:szCs w:val="20"/>
        </w:rPr>
        <w:t xml:space="preserve">The LOA explicitly limits the representative's authority to obtaining pricing and negotiating — not to executing a binding agreement — since that distinction protects the shipper from an over-eager representative committing them to terms they haven't approved. See Chapter 25 for how this fits into a broader RFP and negotiation process.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2026-07-27T01:06:52.497Z</dcterms:created>
  <dcterms:modified xsi:type="dcterms:W3CDTF">2026-07-27T01:06:52.497Z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